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50A" w14:textId="77777777" w:rsidR="0052361F" w:rsidRPr="002F30EE" w:rsidRDefault="0052361F" w:rsidP="0052361F">
      <w:pPr>
        <w:pStyle w:val="Subtitle"/>
        <w:pBdr>
          <w:bottom w:val="single" w:sz="18" w:space="0" w:color="385623" w:themeColor="accent6" w:themeShade="80"/>
        </w:pBdr>
        <w:spacing w:before="0"/>
        <w:rPr>
          <w:rFonts w:ascii="Calibri" w:hAnsi="Calibri" w:cs="Calibri"/>
          <w:color w:val="auto"/>
          <w:sz w:val="44"/>
          <w:szCs w:val="18"/>
        </w:rPr>
      </w:pPr>
      <w:r w:rsidRPr="002F30EE">
        <w:rPr>
          <w:rFonts w:ascii="Calibri" w:hAnsi="Calibri" w:cs="Calibri"/>
          <w:color w:val="auto"/>
          <w:sz w:val="44"/>
          <w:szCs w:val="18"/>
        </w:rPr>
        <w:t>MDHHS – MCIR Release Notes</w:t>
      </w:r>
    </w:p>
    <w:p w14:paraId="7782B453" w14:textId="232AC5AC" w:rsidR="0052361F" w:rsidRDefault="0052361F" w:rsidP="0052361F">
      <w:pPr>
        <w:rPr>
          <w:rFonts w:ascii="Calibri" w:hAnsi="Calibri" w:cs="Calibri"/>
        </w:rPr>
      </w:pPr>
      <w:r w:rsidRPr="002F30EE">
        <w:rPr>
          <w:rFonts w:ascii="Calibri" w:hAnsi="Calibri" w:cs="Calibri"/>
        </w:rPr>
        <w:t>Version 202</w:t>
      </w:r>
      <w:r w:rsidR="00781A2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– MCIR OLTP 202</w:t>
      </w:r>
      <w:r w:rsidR="00781A2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</w:t>
      </w:r>
      <w:r w:rsidR="00983A41">
        <w:rPr>
          <w:rFonts w:ascii="Calibri" w:hAnsi="Calibri" w:cs="Calibri"/>
        </w:rPr>
        <w:t>24.4.24</w:t>
      </w:r>
      <w:r w:rsidRPr="002F30EE">
        <w:rPr>
          <w:rFonts w:ascii="Calibri" w:hAnsi="Calibri" w:cs="Calibri"/>
        </w:rPr>
        <w:t xml:space="preserve"> – RFC </w:t>
      </w:r>
      <w:r>
        <w:rPr>
          <w:rFonts w:ascii="Calibri" w:hAnsi="Calibri" w:cs="Calibri"/>
        </w:rPr>
        <w:t xml:space="preserve"> </w:t>
      </w:r>
      <w:r w:rsidR="002E7838">
        <w:rPr>
          <w:rFonts w:ascii="Calibri" w:hAnsi="Calibri" w:cs="Calibri"/>
        </w:rPr>
        <w:t>235408</w:t>
      </w:r>
      <w:r>
        <w:rPr>
          <w:rFonts w:ascii="Calibri" w:hAnsi="Calibri" w:cs="Calibri"/>
        </w:rPr>
        <w:t xml:space="preserve"> </w:t>
      </w:r>
      <w:r w:rsidRPr="002F30EE">
        <w:rPr>
          <w:rFonts w:ascii="Calibri" w:hAnsi="Calibri" w:cs="Calibri"/>
        </w:rPr>
        <w:t xml:space="preserve">               </w:t>
      </w:r>
      <w:r w:rsidRPr="002F30E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Pr="002F30EE">
        <w:rPr>
          <w:rFonts w:ascii="Calibri" w:hAnsi="Calibri" w:cs="Calibri"/>
        </w:rPr>
        <w:t xml:space="preserve">   Release Date: </w:t>
      </w:r>
      <w:r w:rsidR="00983A41">
        <w:rPr>
          <w:rFonts w:ascii="Calibri" w:hAnsi="Calibri" w:cs="Calibri"/>
        </w:rPr>
        <w:t>04/24/2024</w:t>
      </w:r>
    </w:p>
    <w:p w14:paraId="6C4CD03B" w14:textId="4AD9A434" w:rsidR="0052361F" w:rsidRDefault="0052361F" w:rsidP="0052361F">
      <w:pPr>
        <w:pStyle w:val="Title"/>
        <w:rPr>
          <w:rFonts w:ascii="Calibri" w:hAnsi="Calibri" w:cs="Calibri"/>
          <w:sz w:val="24"/>
          <w:szCs w:val="24"/>
        </w:rPr>
      </w:pPr>
      <w:r w:rsidRPr="002F30EE">
        <w:rPr>
          <w:rFonts w:ascii="Calibri" w:hAnsi="Calibri" w:cs="Calibri"/>
          <w:sz w:val="36"/>
          <w:szCs w:val="36"/>
        </w:rPr>
        <w:t>Forecasting &amp; Assessment</w:t>
      </w:r>
      <w:r>
        <w:rPr>
          <w:rFonts w:ascii="Calibri" w:hAnsi="Calibri" w:cs="Calibri"/>
          <w:sz w:val="36"/>
          <w:szCs w:val="36"/>
        </w:rPr>
        <w:t xml:space="preserve"> – </w:t>
      </w:r>
      <w:r w:rsidR="00983A41">
        <w:rPr>
          <w:rFonts w:ascii="Calibri" w:hAnsi="Calibri" w:cs="Calibri"/>
          <w:sz w:val="36"/>
          <w:szCs w:val="36"/>
        </w:rPr>
        <w:t>5</w:t>
      </w:r>
      <w:r>
        <w:rPr>
          <w:rFonts w:ascii="Calibri" w:hAnsi="Calibri" w:cs="Calibri"/>
          <w:sz w:val="36"/>
          <w:szCs w:val="36"/>
        </w:rPr>
        <w:t xml:space="preserve"> Item</w:t>
      </w:r>
      <w:r w:rsidR="00983A41">
        <w:rPr>
          <w:rFonts w:ascii="Calibri" w:hAnsi="Calibri" w:cs="Calibri"/>
          <w:sz w:val="36"/>
          <w:szCs w:val="36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D11AD75" w14:textId="21376566" w:rsidR="0059207B" w:rsidRDefault="00983A41" w:rsidP="00096ACA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983A41">
        <w:rPr>
          <w:sz w:val="24"/>
          <w:szCs w:val="24"/>
        </w:rPr>
        <w:t>After dose 1 of PCV/PPSV23 (trigger assessment), forecast</w:t>
      </w:r>
      <w:r w:rsidR="003E2879">
        <w:rPr>
          <w:sz w:val="24"/>
          <w:szCs w:val="24"/>
        </w:rPr>
        <w:t xml:space="preserve"> </w:t>
      </w:r>
      <w:r w:rsidRPr="00983A41">
        <w:rPr>
          <w:sz w:val="24"/>
          <w:szCs w:val="24"/>
        </w:rPr>
        <w:t>dose 2 of pneumococcal vaccination</w:t>
      </w:r>
      <w:r w:rsidRPr="00B26531">
        <w:rPr>
          <w:sz w:val="24"/>
          <w:szCs w:val="24"/>
        </w:rPr>
        <w:t>. (Ref# 850)</w:t>
      </w:r>
    </w:p>
    <w:p w14:paraId="4809C48E" w14:textId="77777777" w:rsidR="00447921" w:rsidRDefault="00447921" w:rsidP="00447921">
      <w:pPr>
        <w:pStyle w:val="NormalWeb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New adult Pneumo assessment based on age and history for 6yrs through 64 years </w:t>
      </w:r>
    </w:p>
    <w:p w14:paraId="05CB2C5F" w14:textId="05988A99" w:rsidR="00447921" w:rsidRDefault="00447921" w:rsidP="00447921">
      <w:pPr>
        <w:pStyle w:val="NormalWeb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is a trigger assessment if dose one is given, dose two will be forecasted if necessary.</w:t>
      </w:r>
    </w:p>
    <w:p w14:paraId="211E9260" w14:textId="33B31189" w:rsidR="00A87A07" w:rsidRDefault="00000000" w:rsidP="00447921">
      <w:pPr>
        <w:pStyle w:val="NormalWeb"/>
        <w:numPr>
          <w:ilvl w:val="0"/>
          <w:numId w:val="4"/>
        </w:numPr>
        <w:rPr>
          <w:sz w:val="24"/>
          <w:szCs w:val="24"/>
        </w:rPr>
      </w:pPr>
      <w:hyperlink r:id="rId7" w:history="1">
        <w:r w:rsidR="00447921" w:rsidRPr="0055038A">
          <w:rPr>
            <w:rStyle w:val="Hyperlink"/>
            <w:sz w:val="24"/>
            <w:szCs w:val="24"/>
          </w:rPr>
          <w:t>PneumoRecs Vax Advisor App</w:t>
        </w:r>
      </w:hyperlink>
      <w:r w:rsidR="00447921">
        <w:rPr>
          <w:sz w:val="24"/>
          <w:szCs w:val="24"/>
        </w:rPr>
        <w:t xml:space="preserve"> was utilized </w:t>
      </w:r>
      <w:r w:rsidR="0055038A">
        <w:rPr>
          <w:sz w:val="24"/>
          <w:szCs w:val="24"/>
        </w:rPr>
        <w:t>as</w:t>
      </w:r>
      <w:r w:rsidR="00447921">
        <w:rPr>
          <w:sz w:val="24"/>
          <w:szCs w:val="24"/>
        </w:rPr>
        <w:t xml:space="preserve"> reference for those patients with chronic medical conditions. </w:t>
      </w:r>
    </w:p>
    <w:p w14:paraId="7110B416" w14:textId="47ABB3D3" w:rsidR="003E2879" w:rsidRDefault="00447921" w:rsidP="00A87A07">
      <w:pPr>
        <w:pStyle w:val="NormalWeb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Those with immunocompromising conditions, who may require </w:t>
      </w:r>
      <w:r w:rsidR="00A87A07">
        <w:rPr>
          <w:sz w:val="24"/>
          <w:szCs w:val="24"/>
        </w:rPr>
        <w:t>a minimal interval of 8 weeks</w:t>
      </w:r>
      <w:r>
        <w:rPr>
          <w:sz w:val="24"/>
          <w:szCs w:val="24"/>
        </w:rPr>
        <w:t xml:space="preserve"> </w:t>
      </w:r>
      <w:r w:rsidR="00A87A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will be accepted by MCIR </w:t>
      </w:r>
    </w:p>
    <w:p w14:paraId="40005378" w14:textId="143787EB" w:rsidR="0059207B" w:rsidRDefault="00A57D39" w:rsidP="00B26531">
      <w:pPr>
        <w:pStyle w:val="NormalWeb"/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316607AE" wp14:editId="43DDD25E">
            <wp:extent cx="5943600" cy="860425"/>
            <wp:effectExtent l="0" t="0" r="0" b="0"/>
            <wp:docPr id="2056666585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66585" name="Picture 1" descr="A picture containing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D625" w14:textId="70CA2E1A" w:rsidR="00A57D39" w:rsidRDefault="00A57D39" w:rsidP="00B26531">
      <w:pPr>
        <w:pStyle w:val="NormalWeb"/>
        <w:ind w:left="360"/>
        <w:rPr>
          <w:sz w:val="24"/>
          <w:szCs w:val="24"/>
        </w:rPr>
      </w:pPr>
      <w:r>
        <w:rPr>
          <w:sz w:val="24"/>
          <w:szCs w:val="24"/>
        </w:rPr>
        <w:t>Status screen:</w:t>
      </w:r>
    </w:p>
    <w:p w14:paraId="5FBC38A4" w14:textId="546BC592" w:rsidR="00B26531" w:rsidRDefault="00B26531" w:rsidP="00B26531">
      <w:pPr>
        <w:pStyle w:val="NormalWeb"/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45876654" wp14:editId="28FAA3D7">
            <wp:extent cx="5943600" cy="340360"/>
            <wp:effectExtent l="0" t="0" r="0" b="2540"/>
            <wp:docPr id="1026232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328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4EC8" w14:textId="59E08B50" w:rsidR="00A57D39" w:rsidRDefault="00A57D39" w:rsidP="00B26531">
      <w:pPr>
        <w:pStyle w:val="NormalWeb"/>
        <w:ind w:left="360"/>
        <w:rPr>
          <w:sz w:val="24"/>
          <w:szCs w:val="24"/>
        </w:rPr>
      </w:pPr>
      <w:r>
        <w:rPr>
          <w:sz w:val="24"/>
          <w:szCs w:val="24"/>
        </w:rPr>
        <w:t>Immunization record</w:t>
      </w:r>
    </w:p>
    <w:p w14:paraId="3482BB70" w14:textId="031E93FB" w:rsidR="00A57D39" w:rsidRDefault="00A57D39" w:rsidP="00B26531">
      <w:pPr>
        <w:pStyle w:val="NormalWeb"/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471FBF31" wp14:editId="44F43F81">
            <wp:extent cx="5943600" cy="1504315"/>
            <wp:effectExtent l="0" t="0" r="0" b="635"/>
            <wp:docPr id="707169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692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228A" w14:textId="77777777" w:rsidR="00A57D39" w:rsidRDefault="00A57D39" w:rsidP="00B26531">
      <w:pPr>
        <w:pStyle w:val="NormalWeb"/>
        <w:ind w:left="360"/>
        <w:rPr>
          <w:sz w:val="24"/>
          <w:szCs w:val="24"/>
        </w:rPr>
      </w:pPr>
    </w:p>
    <w:p w14:paraId="5641D3B1" w14:textId="77777777" w:rsidR="00A57D39" w:rsidRDefault="00A57D39" w:rsidP="00B26531">
      <w:pPr>
        <w:pStyle w:val="NormalWeb"/>
        <w:ind w:left="360"/>
        <w:rPr>
          <w:sz w:val="24"/>
          <w:szCs w:val="24"/>
        </w:rPr>
      </w:pPr>
    </w:p>
    <w:p w14:paraId="1C9EB908" w14:textId="73412B8B" w:rsidR="00AB64D1" w:rsidRDefault="00B26531" w:rsidP="005B2807">
      <w:pPr>
        <w:pStyle w:val="NormalWeb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0D12C29" wp14:editId="7397E35A">
                <wp:extent cx="304800" cy="304800"/>
                <wp:effectExtent l="0" t="0" r="0" b="0"/>
                <wp:docPr id="211275705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E2DB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A121E" w:rsidRPr="007A121E">
        <w:rPr>
          <w:sz w:val="24"/>
          <w:szCs w:val="24"/>
        </w:rPr>
        <w:t>Forecast for 65 years and older 1 additional dose of any updated (23–24 Formula) COVID-19 vaccine at least 4 months after previous dose of updated (23–24 Formula) COVID-19 vaccine.</w:t>
      </w:r>
      <w:r w:rsidR="007A121E">
        <w:rPr>
          <w:sz w:val="24"/>
          <w:szCs w:val="24"/>
        </w:rPr>
        <w:t xml:space="preserve"> (Ref# 2833)</w:t>
      </w:r>
      <w:r w:rsidR="00B271A9">
        <w:rPr>
          <w:sz w:val="24"/>
          <w:szCs w:val="24"/>
        </w:rPr>
        <w:t xml:space="preserve">  </w:t>
      </w:r>
      <w:r w:rsidR="0055038A">
        <w:rPr>
          <w:sz w:val="24"/>
          <w:szCs w:val="24"/>
        </w:rPr>
        <w:t xml:space="preserve"> </w:t>
      </w:r>
    </w:p>
    <w:p w14:paraId="77AFBBF5" w14:textId="1A6409AF" w:rsidR="007A121E" w:rsidRDefault="00DC03E6" w:rsidP="00DC03E6">
      <w:pPr>
        <w:pStyle w:val="ListParagraph"/>
        <w:ind w:left="450"/>
        <w:rPr>
          <w:sz w:val="24"/>
          <w:szCs w:val="24"/>
        </w:rPr>
      </w:pPr>
      <w:r>
        <w:rPr>
          <w:noProof/>
        </w:rPr>
        <w:drawing>
          <wp:inline distT="0" distB="0" distL="0" distR="0" wp14:anchorId="0AD446E2" wp14:editId="4D084A07">
            <wp:extent cx="5943600" cy="910590"/>
            <wp:effectExtent l="0" t="0" r="0" b="3810"/>
            <wp:docPr id="125149505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95052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B14A" w14:textId="77777777" w:rsidR="0055038A" w:rsidRDefault="0055038A" w:rsidP="00DC03E6">
      <w:pPr>
        <w:pStyle w:val="ListParagraph"/>
        <w:ind w:left="450"/>
        <w:rPr>
          <w:sz w:val="24"/>
          <w:szCs w:val="24"/>
        </w:rPr>
      </w:pPr>
    </w:p>
    <w:p w14:paraId="14354F69" w14:textId="027574B3" w:rsidR="0055038A" w:rsidRDefault="0055038A" w:rsidP="00DC03E6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>Status screen:</w:t>
      </w:r>
    </w:p>
    <w:p w14:paraId="076CC658" w14:textId="0E402138" w:rsidR="0055038A" w:rsidRDefault="0055038A" w:rsidP="00DC03E6">
      <w:pPr>
        <w:pStyle w:val="ListParagraph"/>
        <w:ind w:left="450"/>
        <w:rPr>
          <w:sz w:val="24"/>
          <w:szCs w:val="24"/>
        </w:rPr>
      </w:pPr>
      <w:r>
        <w:rPr>
          <w:noProof/>
        </w:rPr>
        <w:drawing>
          <wp:inline distT="0" distB="0" distL="0" distR="0" wp14:anchorId="4D4709A8" wp14:editId="64446688">
            <wp:extent cx="5943600" cy="733425"/>
            <wp:effectExtent l="0" t="0" r="0" b="9525"/>
            <wp:docPr id="1733689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8985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31D0" w14:textId="77777777" w:rsidR="00CF4D59" w:rsidRDefault="00CF4D59" w:rsidP="00DC03E6">
      <w:pPr>
        <w:pStyle w:val="ListParagraph"/>
        <w:ind w:left="450"/>
        <w:rPr>
          <w:sz w:val="24"/>
          <w:szCs w:val="24"/>
        </w:rPr>
      </w:pPr>
    </w:p>
    <w:p w14:paraId="75BE9246" w14:textId="57ADA348" w:rsidR="00CF4D59" w:rsidRDefault="00CF4D59" w:rsidP="00DC03E6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>Use the following link</w:t>
      </w:r>
      <w:r w:rsidR="00CC7BA4">
        <w:rPr>
          <w:sz w:val="24"/>
          <w:szCs w:val="24"/>
        </w:rPr>
        <w:t xml:space="preserve">s </w:t>
      </w:r>
      <w:r>
        <w:rPr>
          <w:sz w:val="24"/>
          <w:szCs w:val="24"/>
        </w:rPr>
        <w:t>for additional guidance:</w:t>
      </w:r>
    </w:p>
    <w:p w14:paraId="6C1BE3E5" w14:textId="22F3DB33" w:rsidR="00CC7BA4" w:rsidRDefault="00CC7BA4" w:rsidP="00DC03E6">
      <w:pPr>
        <w:pStyle w:val="ListParagraph"/>
        <w:ind w:left="450"/>
        <w:rPr>
          <w:color w:val="00B0F0"/>
        </w:rPr>
      </w:pPr>
      <w:hyperlink r:id="rId13" w:anchor="table-01" w:history="1">
        <w:r>
          <w:rPr>
            <w:rStyle w:val="Hyperlink"/>
          </w:rPr>
          <w:t>Clinical Guidance for COVID-19 Vaccination | CDC</w:t>
        </w:r>
      </w:hyperlink>
    </w:p>
    <w:p w14:paraId="56C03D29" w14:textId="77777777" w:rsidR="00CC7BA4" w:rsidRDefault="00CC7BA4" w:rsidP="00DC03E6">
      <w:pPr>
        <w:pStyle w:val="ListParagraph"/>
        <w:ind w:left="450"/>
        <w:rPr>
          <w:color w:val="00B0F0"/>
        </w:rPr>
      </w:pPr>
    </w:p>
    <w:p w14:paraId="7870F6B1" w14:textId="0502C806" w:rsidR="00CC7BA4" w:rsidRDefault="00CC7BA4" w:rsidP="00DC03E6">
      <w:pPr>
        <w:pStyle w:val="ListParagraph"/>
        <w:ind w:left="450"/>
      </w:pPr>
      <w:hyperlink r:id="rId14" w:history="1">
        <w:r>
          <w:rPr>
            <w:rStyle w:val="Hyperlink"/>
          </w:rPr>
          <w:t>Use of an Additional Updated 2023–2024 COVID-19 Vaccine Dose for Adults Aged ≥65 Years: Recommendations of the Advisory Committee on Immunization Practices — United States, 2024 | MMWR (cdc.gov)</w:t>
        </w:r>
      </w:hyperlink>
    </w:p>
    <w:p w14:paraId="13C8EACB" w14:textId="77777777" w:rsidR="00CC7BA4" w:rsidRPr="00A57D39" w:rsidRDefault="00CC7BA4" w:rsidP="00DC03E6">
      <w:pPr>
        <w:pStyle w:val="ListParagraph"/>
        <w:ind w:left="450"/>
        <w:rPr>
          <w:color w:val="00B0F0"/>
          <w:sz w:val="24"/>
          <w:szCs w:val="24"/>
        </w:rPr>
      </w:pPr>
    </w:p>
    <w:p w14:paraId="1536F05C" w14:textId="30C02294" w:rsidR="007A121E" w:rsidRPr="0055038A" w:rsidRDefault="007A121E" w:rsidP="00AB64D1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7A121E">
        <w:rPr>
          <w:sz w:val="24"/>
          <w:szCs w:val="24"/>
        </w:rPr>
        <w:t>H</w:t>
      </w:r>
      <w:r w:rsidR="007B6ACD">
        <w:rPr>
          <w:sz w:val="24"/>
          <w:szCs w:val="24"/>
        </w:rPr>
        <w:t>istory</w:t>
      </w:r>
      <w:r w:rsidRPr="007A121E">
        <w:rPr>
          <w:sz w:val="24"/>
          <w:szCs w:val="24"/>
        </w:rPr>
        <w:t xml:space="preserve"> of two OPVs before 4/2016 and IPV at/after 4 </w:t>
      </w:r>
      <w:r w:rsidR="009E47EC">
        <w:rPr>
          <w:sz w:val="24"/>
          <w:szCs w:val="24"/>
        </w:rPr>
        <w:t>years</w:t>
      </w:r>
      <w:r w:rsidRPr="007A121E">
        <w:rPr>
          <w:sz w:val="24"/>
          <w:szCs w:val="24"/>
        </w:rPr>
        <w:t xml:space="preserve"> plus six months from last dose </w:t>
      </w:r>
      <w:r w:rsidRPr="0055038A">
        <w:rPr>
          <w:sz w:val="24"/>
          <w:szCs w:val="24"/>
        </w:rPr>
        <w:t>should be series complete. (Ref # 2793)</w:t>
      </w:r>
    </w:p>
    <w:p w14:paraId="1363F57C" w14:textId="288ED714" w:rsidR="002530BA" w:rsidRDefault="002530BA" w:rsidP="002530BA">
      <w:pPr>
        <w:pStyle w:val="NormalWeb"/>
        <w:ind w:left="450"/>
        <w:rPr>
          <w:sz w:val="24"/>
          <w:szCs w:val="24"/>
        </w:rPr>
      </w:pPr>
      <w:r>
        <w:rPr>
          <w:noProof/>
        </w:rPr>
        <w:drawing>
          <wp:inline distT="0" distB="0" distL="0" distR="0" wp14:anchorId="0ADDD1F1" wp14:editId="23AA55A8">
            <wp:extent cx="5943600" cy="741045"/>
            <wp:effectExtent l="0" t="0" r="0" b="1905"/>
            <wp:docPr id="164310715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0715" name="Picture 1" descr="A picture containing 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3338" w14:textId="77777777" w:rsidR="002530BA" w:rsidRDefault="002530BA" w:rsidP="005138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Use the following link for additional guidance:</w:t>
      </w:r>
    </w:p>
    <w:p w14:paraId="36924F89" w14:textId="2576EA69" w:rsidR="0051382D" w:rsidRDefault="0051382D" w:rsidP="007B6ACD">
      <w:pPr>
        <w:spacing w:after="0"/>
        <w:rPr>
          <w:sz w:val="24"/>
          <w:szCs w:val="24"/>
        </w:rPr>
      </w:pPr>
      <w:r>
        <w:t xml:space="preserve">         </w:t>
      </w:r>
      <w:hyperlink r:id="rId16" w:history="1">
        <w:r>
          <w:rPr>
            <w:rStyle w:val="Hyperlink"/>
          </w:rPr>
          <w:t>Polio Archives | Immunize.org</w:t>
        </w:r>
      </w:hyperlink>
    </w:p>
    <w:p w14:paraId="0EEE41BE" w14:textId="2988011E" w:rsidR="007A121E" w:rsidRDefault="002530BA" w:rsidP="002530B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D3840C8" w14:textId="77777777" w:rsidR="00A57D39" w:rsidRDefault="00A57D39" w:rsidP="002530BA">
      <w:pPr>
        <w:rPr>
          <w:sz w:val="24"/>
          <w:szCs w:val="24"/>
        </w:rPr>
      </w:pPr>
    </w:p>
    <w:p w14:paraId="3DAEBF06" w14:textId="77777777" w:rsidR="00A57D39" w:rsidRDefault="00A57D39" w:rsidP="002530BA">
      <w:pPr>
        <w:rPr>
          <w:sz w:val="24"/>
          <w:szCs w:val="24"/>
        </w:rPr>
      </w:pPr>
    </w:p>
    <w:p w14:paraId="6BD77E95" w14:textId="77777777" w:rsidR="00A57D39" w:rsidRDefault="00A57D39" w:rsidP="002530BA">
      <w:pPr>
        <w:rPr>
          <w:sz w:val="24"/>
          <w:szCs w:val="24"/>
        </w:rPr>
      </w:pPr>
    </w:p>
    <w:p w14:paraId="7B9F009F" w14:textId="77777777" w:rsidR="00A57D39" w:rsidRDefault="00A57D39" w:rsidP="002530BA">
      <w:pPr>
        <w:rPr>
          <w:sz w:val="24"/>
          <w:szCs w:val="24"/>
        </w:rPr>
      </w:pPr>
    </w:p>
    <w:p w14:paraId="62B5914D" w14:textId="77777777" w:rsidR="00A57D39" w:rsidRDefault="00A57D39" w:rsidP="002530BA">
      <w:pPr>
        <w:rPr>
          <w:sz w:val="24"/>
          <w:szCs w:val="24"/>
        </w:rPr>
      </w:pPr>
    </w:p>
    <w:p w14:paraId="4D5E6CD9" w14:textId="77777777" w:rsidR="00A57D39" w:rsidRDefault="00A57D39" w:rsidP="002530BA">
      <w:pPr>
        <w:rPr>
          <w:sz w:val="24"/>
          <w:szCs w:val="24"/>
        </w:rPr>
      </w:pPr>
    </w:p>
    <w:p w14:paraId="3D890045" w14:textId="77777777" w:rsidR="00A57D39" w:rsidRDefault="00A57D39" w:rsidP="002530BA">
      <w:pPr>
        <w:rPr>
          <w:sz w:val="24"/>
          <w:szCs w:val="24"/>
        </w:rPr>
      </w:pPr>
    </w:p>
    <w:p w14:paraId="5B5B0E49" w14:textId="77777777" w:rsidR="00A57D39" w:rsidRPr="002530BA" w:rsidRDefault="00A57D39" w:rsidP="002530BA">
      <w:pPr>
        <w:rPr>
          <w:sz w:val="24"/>
          <w:szCs w:val="24"/>
        </w:rPr>
      </w:pPr>
    </w:p>
    <w:p w14:paraId="7F3427F8" w14:textId="2C026BE3" w:rsidR="007A121E" w:rsidRPr="00FF647F" w:rsidRDefault="007A121E" w:rsidP="007B6ACD">
      <w:pPr>
        <w:pStyle w:val="NormalWeb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FF647F">
        <w:rPr>
          <w:sz w:val="24"/>
          <w:szCs w:val="24"/>
        </w:rPr>
        <w:t>When IPV dose 1 or 2 administered at or after 18 years of age, triggers assessment for additional doses needed to complete the series.(Ref# 2716)</w:t>
      </w:r>
      <w:r w:rsidR="00B271A9" w:rsidRPr="00FF647F">
        <w:rPr>
          <w:sz w:val="24"/>
          <w:szCs w:val="24"/>
        </w:rPr>
        <w:t xml:space="preserve"> </w:t>
      </w:r>
    </w:p>
    <w:p w14:paraId="08B21C81" w14:textId="4ACBC8FF" w:rsidR="007B6ACD" w:rsidRDefault="007B6ACD" w:rsidP="007B6ACD">
      <w:pPr>
        <w:pStyle w:val="NormalWeb"/>
        <w:spacing w:before="0" w:beforeAutospacing="0"/>
        <w:ind w:left="450"/>
        <w:rPr>
          <w:sz w:val="24"/>
          <w:szCs w:val="24"/>
        </w:rPr>
      </w:pPr>
      <w:r>
        <w:rPr>
          <w:noProof/>
        </w:rPr>
        <w:drawing>
          <wp:inline distT="0" distB="0" distL="0" distR="0" wp14:anchorId="06EABF13" wp14:editId="599D72B1">
            <wp:extent cx="5943600" cy="683895"/>
            <wp:effectExtent l="0" t="0" r="0" b="1905"/>
            <wp:docPr id="1734693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9371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6C6B" w14:textId="398B12D0" w:rsidR="00FF647F" w:rsidRDefault="00FF647F" w:rsidP="007B6ACD">
      <w:pPr>
        <w:pStyle w:val="NormalWeb"/>
        <w:spacing w:before="0" w:beforeAutospacing="0"/>
        <w:ind w:left="450"/>
        <w:rPr>
          <w:sz w:val="24"/>
          <w:szCs w:val="24"/>
        </w:rPr>
      </w:pPr>
      <w:r>
        <w:rPr>
          <w:sz w:val="24"/>
          <w:szCs w:val="24"/>
        </w:rPr>
        <w:t>Status screen:</w:t>
      </w:r>
    </w:p>
    <w:p w14:paraId="4AD799A7" w14:textId="7688F81D" w:rsidR="00FF647F" w:rsidRDefault="00FF647F" w:rsidP="007B6ACD">
      <w:pPr>
        <w:pStyle w:val="NormalWeb"/>
        <w:spacing w:before="0" w:beforeAutospacing="0"/>
        <w:ind w:left="450"/>
        <w:rPr>
          <w:sz w:val="24"/>
          <w:szCs w:val="24"/>
        </w:rPr>
      </w:pPr>
      <w:r>
        <w:rPr>
          <w:noProof/>
        </w:rPr>
        <w:drawing>
          <wp:inline distT="0" distB="0" distL="0" distR="0" wp14:anchorId="7FA3589B" wp14:editId="2108726A">
            <wp:extent cx="5943600" cy="663575"/>
            <wp:effectExtent l="0" t="0" r="0" b="3175"/>
            <wp:docPr id="1663434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3492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78197" w14:textId="44695398" w:rsidR="00FC5788" w:rsidRDefault="005F23F3" w:rsidP="005F23F3">
      <w:pPr>
        <w:pStyle w:val="NormalWeb"/>
        <w:spacing w:before="0" w:beforeAutospacing="0" w:after="0" w:afterAutospacing="0"/>
        <w:ind w:left="450"/>
        <w:rPr>
          <w:sz w:val="24"/>
          <w:szCs w:val="24"/>
        </w:rPr>
      </w:pPr>
      <w:r>
        <w:rPr>
          <w:sz w:val="24"/>
          <w:szCs w:val="24"/>
        </w:rPr>
        <w:t>Use the following link for additional guidance:</w:t>
      </w:r>
    </w:p>
    <w:p w14:paraId="78D069E5" w14:textId="6763B617" w:rsidR="005F23F3" w:rsidRDefault="00000000" w:rsidP="007B6ACD">
      <w:pPr>
        <w:pStyle w:val="NormalWeb"/>
        <w:spacing w:before="0" w:beforeAutospacing="0"/>
        <w:ind w:left="450"/>
      </w:pPr>
      <w:hyperlink r:id="rId19" w:history="1">
        <w:r w:rsidR="005F23F3">
          <w:rPr>
            <w:rStyle w:val="Hyperlink"/>
          </w:rPr>
          <w:t>Recommended Adult Immunization Schedule for ages 19 years or older (cdc.gov)</w:t>
        </w:r>
      </w:hyperlink>
    </w:p>
    <w:p w14:paraId="2F2AA10B" w14:textId="77777777" w:rsidR="005B2807" w:rsidRDefault="005B2807" w:rsidP="001E23A2">
      <w:pPr>
        <w:pStyle w:val="Title"/>
        <w:rPr>
          <w:rFonts w:ascii="Calibri" w:hAnsi="Calibri" w:cs="Calibri"/>
          <w:sz w:val="36"/>
          <w:szCs w:val="36"/>
        </w:rPr>
      </w:pPr>
    </w:p>
    <w:p w14:paraId="6274C53C" w14:textId="77777777" w:rsidR="00A57D39" w:rsidRDefault="00A57D39" w:rsidP="00A57D39"/>
    <w:p w14:paraId="32E96FAA" w14:textId="77777777" w:rsidR="00A57D39" w:rsidRPr="00A57D39" w:rsidRDefault="00A57D39" w:rsidP="00A57D39"/>
    <w:p w14:paraId="11276B4B" w14:textId="0C518A13" w:rsidR="001E23A2" w:rsidRDefault="001E23A2" w:rsidP="001E23A2">
      <w:pPr>
        <w:pStyle w:val="Titl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General – 1 Item</w:t>
      </w:r>
    </w:p>
    <w:p w14:paraId="791B546B" w14:textId="0E208073" w:rsidR="001B1CF8" w:rsidRPr="001B1CF8" w:rsidRDefault="000637ED" w:rsidP="005C5C75">
      <w:pPr>
        <w:pStyle w:val="NormalWeb"/>
        <w:numPr>
          <w:ilvl w:val="0"/>
          <w:numId w:val="6"/>
        </w:numPr>
        <w:spacing w:after="240" w:afterAutospacing="0"/>
        <w:ind w:left="446"/>
      </w:pPr>
      <w:r w:rsidRPr="001B1CF8">
        <w:rPr>
          <w:sz w:val="24"/>
          <w:szCs w:val="24"/>
        </w:rPr>
        <w:t>HL7 Update:  Addition of "Preferred not to say" option to race and ethnicity fields- PHC1175</w:t>
      </w:r>
      <w:r w:rsidR="00FF647F" w:rsidRPr="001B1CF8">
        <w:rPr>
          <w:sz w:val="24"/>
          <w:szCs w:val="24"/>
        </w:rPr>
        <w:t>(Ref# 2810)</w:t>
      </w:r>
    </w:p>
    <w:p w14:paraId="3D34D59B" w14:textId="0E7E61BB" w:rsidR="001B1CF8" w:rsidRDefault="001B1CF8" w:rsidP="005C5C75">
      <w:pPr>
        <w:pStyle w:val="NormalWeb"/>
        <w:numPr>
          <w:ilvl w:val="0"/>
          <w:numId w:val="6"/>
        </w:numPr>
        <w:spacing w:after="0" w:afterAutospacing="0"/>
      </w:pPr>
      <w:r>
        <w:t>Recall Letter – Simple wording updates, a sampling is noted below: (Ref# 2843)</w:t>
      </w:r>
    </w:p>
    <w:p w14:paraId="682A73E0" w14:textId="3C1820BC" w:rsidR="001B1CF8" w:rsidRDefault="001B1CF8" w:rsidP="001B1CF8">
      <w:pPr>
        <w:pStyle w:val="NormalWeb"/>
        <w:numPr>
          <w:ilvl w:val="0"/>
          <w:numId w:val="5"/>
        </w:numPr>
      </w:pPr>
      <w:r>
        <w:t>“Health Department” revised to “Local Health Department”</w:t>
      </w:r>
    </w:p>
    <w:p w14:paraId="6C2118E5" w14:textId="7D1BE3CD" w:rsidR="001B1CF8" w:rsidRDefault="001B1CF8" w:rsidP="001B1CF8">
      <w:pPr>
        <w:pStyle w:val="NormalWeb"/>
        <w:numPr>
          <w:ilvl w:val="0"/>
          <w:numId w:val="5"/>
        </w:numPr>
      </w:pPr>
      <w:r>
        <w:t>“Doctor” revised to “Healthcare Provider”</w:t>
      </w:r>
    </w:p>
    <w:p w14:paraId="274D60BB" w14:textId="4B287721" w:rsidR="001B1CF8" w:rsidRDefault="001B1CF8" w:rsidP="001B1CF8">
      <w:pPr>
        <w:pStyle w:val="NormalWeb"/>
        <w:numPr>
          <w:ilvl w:val="0"/>
          <w:numId w:val="5"/>
        </w:numPr>
      </w:pPr>
      <w:r>
        <w:t>“Provider(s)” revised to “Healthcare Provider(s)”</w:t>
      </w:r>
    </w:p>
    <w:p w14:paraId="59DD5FD8" w14:textId="77777777" w:rsidR="0052361F" w:rsidRPr="0062545C" w:rsidRDefault="0052361F" w:rsidP="0052361F">
      <w:pPr>
        <w:rPr>
          <w:rFonts w:ascii="Calibri" w:hAnsi="Calibri" w:cs="Calibri"/>
          <w:b/>
          <w:bCs/>
          <w:color w:val="172B4D"/>
        </w:rPr>
      </w:pPr>
    </w:p>
    <w:p w14:paraId="1CB2B76A" w14:textId="1950E9FD" w:rsidR="0052361F" w:rsidRPr="002F30EE" w:rsidRDefault="0052361F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  <w:r w:rsidRPr="002F30EE">
        <w:rPr>
          <w:rFonts w:ascii="Calibri" w:hAnsi="Calibri" w:cs="Calibri"/>
          <w:color w:val="000000"/>
        </w:rPr>
        <w:t xml:space="preserve">If you have questions or need assistance, please contact your Field Representative or </w:t>
      </w:r>
    </w:p>
    <w:p w14:paraId="5F73BD38" w14:textId="11CD707A" w:rsidR="00B22080" w:rsidRDefault="0052361F" w:rsidP="001B1CF8">
      <w:pPr>
        <w:spacing w:after="0" w:line="240" w:lineRule="auto"/>
        <w:jc w:val="center"/>
        <w:textAlignment w:val="baseline"/>
      </w:pPr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MCIR SOM Help Desk at </w:t>
      </w:r>
      <w:hyperlink r:id="rId20" w:history="1">
        <w:r w:rsidRPr="00D03861">
          <w:rPr>
            <w:rFonts w:ascii="Verdana" w:eastAsia="Times New Roman" w:hAnsi="Verdana" w:cs="Times New Roman"/>
            <w:color w:val="000000"/>
            <w:sz w:val="20"/>
            <w:szCs w:val="20"/>
          </w:rPr>
          <w:t>MDHHS-MCIRHelp@michigan.gov</w:t>
        </w:r>
      </w:hyperlink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ab/>
      </w:r>
    </w:p>
    <w:sectPr w:rsidR="00B22080" w:rsidSect="004E171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75B6" w14:textId="77777777" w:rsidR="004E171F" w:rsidRDefault="004E171F">
      <w:pPr>
        <w:spacing w:after="0" w:line="240" w:lineRule="auto"/>
      </w:pPr>
      <w:r>
        <w:separator/>
      </w:r>
    </w:p>
  </w:endnote>
  <w:endnote w:type="continuationSeparator" w:id="0">
    <w:p w14:paraId="01792C7D" w14:textId="77777777" w:rsidR="004E171F" w:rsidRDefault="004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5ACC" w14:textId="77777777" w:rsidR="00503364" w:rsidRDefault="0050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DBE7" w14:textId="77777777" w:rsidR="00503364" w:rsidRPr="003924A0" w:rsidRDefault="00000000" w:rsidP="008218F6">
    <w:pPr>
      <w:pStyle w:val="Footer"/>
      <w:jc w:val="center"/>
      <w:rPr>
        <w:rFonts w:ascii="Calibri" w:hAnsi="Calibri" w:cs="Calibri"/>
      </w:rPr>
    </w:pPr>
    <w:r w:rsidRPr="003924A0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  <w:b/>
        <w:noProof/>
        <w:color w:val="ED7D31" w:themeColor="accent2"/>
        <w:sz w:val="44"/>
        <w:szCs w:val="18"/>
      </w:rPr>
      <w:drawing>
        <wp:inline distT="0" distB="0" distL="0" distR="0" wp14:anchorId="44142D0A" wp14:editId="5510C2E1">
          <wp:extent cx="1104265" cy="55753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1696" w14:textId="77777777" w:rsidR="00503364" w:rsidRDefault="0050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224F" w14:textId="77777777" w:rsidR="004E171F" w:rsidRDefault="004E171F">
      <w:pPr>
        <w:spacing w:after="0" w:line="240" w:lineRule="auto"/>
      </w:pPr>
      <w:r>
        <w:separator/>
      </w:r>
    </w:p>
  </w:footnote>
  <w:footnote w:type="continuationSeparator" w:id="0">
    <w:p w14:paraId="38227CF7" w14:textId="77777777" w:rsidR="004E171F" w:rsidRDefault="004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E96" w14:textId="77777777" w:rsidR="00503364" w:rsidRDefault="0050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4402" w14:textId="77777777" w:rsidR="00503364" w:rsidRDefault="0050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B3B8" w14:textId="77777777" w:rsidR="00503364" w:rsidRDefault="0050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08F"/>
    <w:multiLevelType w:val="hybridMultilevel"/>
    <w:tmpl w:val="4E6E5506"/>
    <w:lvl w:ilvl="0" w:tplc="E0DE3DA4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F2B6D"/>
    <w:multiLevelType w:val="hybridMultilevel"/>
    <w:tmpl w:val="BE36BD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91913"/>
    <w:multiLevelType w:val="hybridMultilevel"/>
    <w:tmpl w:val="22F8E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D80A82"/>
    <w:multiLevelType w:val="hybridMultilevel"/>
    <w:tmpl w:val="7DE2C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C2086"/>
    <w:multiLevelType w:val="hybridMultilevel"/>
    <w:tmpl w:val="E524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C41FA"/>
    <w:multiLevelType w:val="hybridMultilevel"/>
    <w:tmpl w:val="2CB8045A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86795"/>
    <w:multiLevelType w:val="hybridMultilevel"/>
    <w:tmpl w:val="1116F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B65D6F"/>
    <w:multiLevelType w:val="hybridMultilevel"/>
    <w:tmpl w:val="BEF8A15A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261886">
    <w:abstractNumId w:val="3"/>
  </w:num>
  <w:num w:numId="2" w16cid:durableId="1402019495">
    <w:abstractNumId w:val="1"/>
  </w:num>
  <w:num w:numId="3" w16cid:durableId="1297951887">
    <w:abstractNumId w:val="2"/>
  </w:num>
  <w:num w:numId="4" w16cid:durableId="199326016">
    <w:abstractNumId w:val="6"/>
  </w:num>
  <w:num w:numId="5" w16cid:durableId="1750732806">
    <w:abstractNumId w:val="4"/>
  </w:num>
  <w:num w:numId="6" w16cid:durableId="543372321">
    <w:abstractNumId w:val="0"/>
  </w:num>
  <w:num w:numId="7" w16cid:durableId="800878941">
    <w:abstractNumId w:val="7"/>
  </w:num>
  <w:num w:numId="8" w16cid:durableId="1145391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F"/>
    <w:rsid w:val="000637ED"/>
    <w:rsid w:val="001142A2"/>
    <w:rsid w:val="001B1CF8"/>
    <w:rsid w:val="001E23A2"/>
    <w:rsid w:val="002530BA"/>
    <w:rsid w:val="002E7838"/>
    <w:rsid w:val="003138B8"/>
    <w:rsid w:val="003E2879"/>
    <w:rsid w:val="00447921"/>
    <w:rsid w:val="00452F69"/>
    <w:rsid w:val="004E171F"/>
    <w:rsid w:val="004F689A"/>
    <w:rsid w:val="00503364"/>
    <w:rsid w:val="0051382D"/>
    <w:rsid w:val="0052361F"/>
    <w:rsid w:val="0055038A"/>
    <w:rsid w:val="0059207B"/>
    <w:rsid w:val="005B2807"/>
    <w:rsid w:val="005C5C75"/>
    <w:rsid w:val="005F23F3"/>
    <w:rsid w:val="00781A2B"/>
    <w:rsid w:val="007A121E"/>
    <w:rsid w:val="007B6ACD"/>
    <w:rsid w:val="0086114A"/>
    <w:rsid w:val="009617DD"/>
    <w:rsid w:val="0097191D"/>
    <w:rsid w:val="00983A41"/>
    <w:rsid w:val="009E47EC"/>
    <w:rsid w:val="00A57D39"/>
    <w:rsid w:val="00A87A07"/>
    <w:rsid w:val="00AB64D1"/>
    <w:rsid w:val="00B03660"/>
    <w:rsid w:val="00B22080"/>
    <w:rsid w:val="00B26531"/>
    <w:rsid w:val="00B271A9"/>
    <w:rsid w:val="00CA3E1A"/>
    <w:rsid w:val="00CC120E"/>
    <w:rsid w:val="00CC7BA4"/>
    <w:rsid w:val="00CF4D59"/>
    <w:rsid w:val="00D83142"/>
    <w:rsid w:val="00DC03E6"/>
    <w:rsid w:val="00F5487F"/>
    <w:rsid w:val="00F54E9B"/>
    <w:rsid w:val="00FC5788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9F67"/>
  <w15:chartTrackingRefBased/>
  <w15:docId w15:val="{4F58E7DC-768E-4BA8-AC03-48C06FE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2361F"/>
    <w:pPr>
      <w:pBdr>
        <w:bottom w:val="single" w:sz="18" w:space="4" w:color="385623" w:themeColor="accent6" w:themeShade="80"/>
      </w:pBdr>
      <w:spacing w:before="700" w:after="0" w:line="240" w:lineRule="auto"/>
    </w:pPr>
    <w:rPr>
      <w:rFonts w:eastAsia="Times New Roman" w:cs="Times New Roman"/>
      <w:b/>
      <w:color w:val="2E74B5" w:themeColor="accent5" w:themeShade="BF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61F"/>
    <w:rPr>
      <w:rFonts w:eastAsia="Times New Roman" w:cs="Times New Roman"/>
      <w:b/>
      <w:color w:val="2E74B5" w:themeColor="accent5" w:themeShade="BF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1F"/>
  </w:style>
  <w:style w:type="paragraph" w:styleId="Footer">
    <w:name w:val="footer"/>
    <w:basedOn w:val="Normal"/>
    <w:link w:val="Foot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1F"/>
  </w:style>
  <w:style w:type="paragraph" w:styleId="Title">
    <w:name w:val="Title"/>
    <w:basedOn w:val="Normal"/>
    <w:next w:val="Normal"/>
    <w:link w:val="TitleChar"/>
    <w:uiPriority w:val="10"/>
    <w:qFormat/>
    <w:rsid w:val="00523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83A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3A41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CF4D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D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c.gov/vaccines/covid-19/clinical-considerations/interim-considerations-us.html" TargetMode="External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cdc.gov/vaccines/vpd/pneumo/hcp/pneumoapp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immunize.org/ask-experts/topic/polio/" TargetMode="External"/><Relationship Id="rId20" Type="http://schemas.openxmlformats.org/officeDocument/2006/relationships/hyperlink" Target="mailto:MDHHS-MCIRHelp@michigan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cdc.gov/vaccines/schedules/downloads/adult/adult-combined-schedul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cdc.gov/mmwr/volumes/73/wr/mm7316a4.htm?s_cid=mm7316a4_w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Lally, Rosslyn (DHHS-Contractor)</dc:creator>
  <cp:keywords/>
  <dc:description/>
  <cp:lastModifiedBy>Lally, Rosslyn (DHHS-Contractor)</cp:lastModifiedBy>
  <cp:revision>13</cp:revision>
  <dcterms:created xsi:type="dcterms:W3CDTF">2024-04-22T18:03:00Z</dcterms:created>
  <dcterms:modified xsi:type="dcterms:W3CDTF">2024-04-25T18:23:00Z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2023-10-12T20:03:03Z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1bb9beec-9443-4031-8e92-ed98e7802c57</vt:lpwstr>
  </property>
  <property fmtid="{D5CDD505-2E9C-101B-9397-08002B2CF9AE}" pid="8" name="MSIP_Label_3a2fed65-62e7-46ea-af74-187e0c17143a_ContentBits">
    <vt:lpwstr>0</vt:lpwstr>
  </property>
</Properties>
</file>